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8CEB3" w14:textId="5DEE055B" w:rsidR="00DF428D" w:rsidRPr="002616FE" w:rsidRDefault="00AF1DEA" w:rsidP="00F21950">
      <w:pPr>
        <w:pStyle w:val="Kop1"/>
        <w:rPr>
          <w:sz w:val="28"/>
          <w:lang w:eastAsia="nl-NL"/>
        </w:rPr>
      </w:pPr>
      <w:r w:rsidRPr="002616FE">
        <w:rPr>
          <w:sz w:val="28"/>
        </w:rPr>
        <w:t>V</w:t>
      </w:r>
      <w:r w:rsidR="00B20FEB" w:rsidRPr="002616FE">
        <w:rPr>
          <w:sz w:val="28"/>
        </w:rPr>
        <w:t xml:space="preserve">ergoeding </w:t>
      </w:r>
      <w:r w:rsidRPr="002616FE">
        <w:rPr>
          <w:sz w:val="28"/>
        </w:rPr>
        <w:t xml:space="preserve">van </w:t>
      </w:r>
      <w:proofErr w:type="spellStart"/>
      <w:r w:rsidR="00ED2F68" w:rsidRPr="002616FE">
        <w:rPr>
          <w:sz w:val="28"/>
        </w:rPr>
        <w:t>lenalidomide</w:t>
      </w:r>
      <w:proofErr w:type="spellEnd"/>
      <w:r w:rsidR="00ED2F68" w:rsidRPr="002616FE">
        <w:rPr>
          <w:sz w:val="28"/>
        </w:rPr>
        <w:t xml:space="preserve"> </w:t>
      </w:r>
      <w:r w:rsidR="00C870F0" w:rsidRPr="002616FE">
        <w:rPr>
          <w:sz w:val="28"/>
        </w:rPr>
        <w:t xml:space="preserve">in combinatie met dexamethason </w:t>
      </w:r>
      <w:r w:rsidR="00F852ED" w:rsidRPr="002616FE">
        <w:rPr>
          <w:sz w:val="28"/>
        </w:rPr>
        <w:t xml:space="preserve">bij volwassen </w:t>
      </w:r>
      <w:r w:rsidR="00C870F0" w:rsidRPr="002616FE">
        <w:rPr>
          <w:sz w:val="28"/>
        </w:rPr>
        <w:t>patiënten</w:t>
      </w:r>
      <w:r w:rsidR="00F852ED" w:rsidRPr="002616FE">
        <w:rPr>
          <w:sz w:val="28"/>
        </w:rPr>
        <w:t xml:space="preserve"> met </w:t>
      </w:r>
      <w:r w:rsidR="0050025D" w:rsidRPr="002616FE">
        <w:rPr>
          <w:sz w:val="28"/>
        </w:rPr>
        <w:t>multipel myeloom</w:t>
      </w:r>
      <w:r w:rsidR="00F852ED" w:rsidRPr="002616FE">
        <w:rPr>
          <w:sz w:val="28"/>
        </w:rPr>
        <w:t xml:space="preserve"> </w:t>
      </w:r>
      <w:r w:rsidR="00D441C2" w:rsidRPr="002616FE">
        <w:rPr>
          <w:sz w:val="28"/>
        </w:rPr>
        <w:t>i</w:t>
      </w:r>
      <w:r w:rsidR="002C64A7" w:rsidRPr="002616FE">
        <w:rPr>
          <w:sz w:val="28"/>
        </w:rPr>
        <w:t>n maart en april 2019</w:t>
      </w:r>
    </w:p>
    <w:p w14:paraId="17E015AF" w14:textId="77777777" w:rsidR="0037722F" w:rsidRDefault="0037722F" w:rsidP="00F21950">
      <w:pPr>
        <w:pStyle w:val="Kop2"/>
        <w:rPr>
          <w:rFonts w:eastAsia="Times New Roman"/>
          <w:lang w:eastAsia="nl-NL"/>
        </w:rPr>
      </w:pPr>
    </w:p>
    <w:p w14:paraId="626168E5" w14:textId="0F50552B" w:rsidR="00F21950" w:rsidRPr="002616FE" w:rsidRDefault="00C83337" w:rsidP="00F21950">
      <w:pPr>
        <w:pStyle w:val="Kop2"/>
        <w:rPr>
          <w:rFonts w:eastAsia="Times New Roman"/>
          <w:sz w:val="24"/>
          <w:lang w:eastAsia="nl-NL"/>
        </w:rPr>
      </w:pPr>
      <w:r w:rsidRPr="002616FE">
        <w:rPr>
          <w:rFonts w:eastAsia="Times New Roman"/>
          <w:sz w:val="24"/>
          <w:lang w:eastAsia="nl-NL"/>
        </w:rPr>
        <w:t>Aanleiding</w:t>
      </w:r>
    </w:p>
    <w:p w14:paraId="7229C84E" w14:textId="003635A2" w:rsidR="00130116" w:rsidRPr="002616FE" w:rsidRDefault="00AF1DEA" w:rsidP="00130116">
      <w:p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Naar aanleiding van een </w:t>
      </w:r>
      <w:r w:rsidR="001A68EE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verzoek om </w:t>
      </w:r>
      <w:r w:rsidR="00367DDA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de behandeling REP te kunnen declarere</w:t>
      </w:r>
      <w:r w:rsidR="00BF1ECD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n</w:t>
      </w:r>
      <w:r w:rsidR="00D30226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is indicatie ID </w:t>
      </w:r>
      <w:r w:rsidR="004116C2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2673 </w:t>
      </w:r>
      <w:r w:rsidR="00A97151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aangemaakt: </w:t>
      </w:r>
      <w:proofErr w:type="spellStart"/>
      <w:r w:rsidR="00A97151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lenalidomide</w:t>
      </w:r>
      <w:proofErr w:type="spellEnd"/>
      <w:r w:rsidR="00D30226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in </w:t>
      </w:r>
      <w:r w:rsidR="006411D7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combinatie met cyclofosfamide en prednison voor de behandeling van volwassen patiënten met multipel myeloom die eerder minimaal een andere behandeling hebben gehad.</w:t>
      </w:r>
      <w:r w:rsidR="00A97151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Hierbij is </w:t>
      </w:r>
      <w:r w:rsidR="0050025D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per abuis</w:t>
      </w:r>
      <w:r w:rsidR="00A97151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ID 342 </w:t>
      </w:r>
      <w:r w:rsidR="0011082C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per 1 maart op NEE gezet</w:t>
      </w:r>
      <w:r w:rsidR="0050025D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. </w:t>
      </w:r>
      <w:r w:rsidR="006A40F6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ID 342 betrof echter een ander behandelschema</w:t>
      </w:r>
      <w:r w:rsidR="002221B0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, namelijk in combinatie met dexamethason, dat ook veel toegepast wordt</w:t>
      </w:r>
      <w:r w:rsidR="000C3107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en </w:t>
      </w:r>
      <w:r w:rsidR="00560ECF" w:rsidRPr="002616FE">
        <w:rPr>
          <w:rFonts w:eastAsia="Times New Roman" w:cstheme="minorHAnsi"/>
          <w:b/>
          <w:bCs/>
          <w:color w:val="000000"/>
          <w:sz w:val="20"/>
          <w:szCs w:val="21"/>
          <w:lang w:eastAsia="nl-NL"/>
        </w:rPr>
        <w:t>conform</w:t>
      </w:r>
      <w:r w:rsidR="00560ECF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</w:t>
      </w:r>
      <w:r w:rsidR="000C3107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stand der wetenschap en praktijk is</w:t>
      </w:r>
      <w:r w:rsidR="002221B0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. </w:t>
      </w:r>
      <w:r w:rsidR="00A61DBD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Per 1 mei </w:t>
      </w:r>
      <w:r w:rsidR="00CB3739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staat indicatie </w:t>
      </w:r>
      <w:r w:rsidR="008329DD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342 </w:t>
      </w:r>
      <w:r w:rsidR="00CB3739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weer op JA</w:t>
      </w:r>
      <w:r w:rsidR="008329DD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en is declarabel.</w:t>
      </w:r>
    </w:p>
    <w:p w14:paraId="2460D244" w14:textId="77777777" w:rsidR="007F6E43" w:rsidRPr="002616FE" w:rsidRDefault="007F6E43" w:rsidP="00AF1DEA">
      <w:pPr>
        <w:rPr>
          <w:rFonts w:eastAsia="Times New Roman" w:cstheme="minorHAnsi"/>
          <w:b/>
          <w:bCs/>
          <w:color w:val="000000"/>
          <w:sz w:val="20"/>
          <w:szCs w:val="21"/>
          <w:lang w:eastAsia="nl-NL"/>
        </w:rPr>
      </w:pPr>
    </w:p>
    <w:p w14:paraId="44E60B69" w14:textId="58DEFCAD" w:rsidR="00D15FF0" w:rsidRPr="002616FE" w:rsidRDefault="007744D6" w:rsidP="00D15FF0">
      <w:pPr>
        <w:pStyle w:val="Kop2"/>
        <w:rPr>
          <w:rFonts w:eastAsia="Times New Roman"/>
          <w:sz w:val="24"/>
          <w:lang w:eastAsia="nl-NL"/>
        </w:rPr>
      </w:pPr>
      <w:r w:rsidRPr="002616FE">
        <w:rPr>
          <w:rFonts w:eastAsia="Times New Roman"/>
          <w:sz w:val="24"/>
          <w:lang w:eastAsia="nl-NL"/>
        </w:rPr>
        <w:t xml:space="preserve">Declareren </w:t>
      </w:r>
      <w:r w:rsidR="00A51E2A" w:rsidRPr="002616FE">
        <w:rPr>
          <w:rFonts w:eastAsia="Times New Roman"/>
          <w:sz w:val="24"/>
          <w:lang w:eastAsia="nl-NL"/>
        </w:rPr>
        <w:t xml:space="preserve">indicatie </w:t>
      </w:r>
      <w:r w:rsidRPr="002616FE">
        <w:rPr>
          <w:rFonts w:eastAsia="Times New Roman"/>
          <w:sz w:val="24"/>
          <w:lang w:eastAsia="nl-NL"/>
        </w:rPr>
        <w:t>342 in maart en april 2019</w:t>
      </w:r>
    </w:p>
    <w:p w14:paraId="5219FDEB" w14:textId="4C2A472C" w:rsidR="00CA5332" w:rsidRPr="002616FE" w:rsidRDefault="00AF1DEA" w:rsidP="00AF1DEA">
      <w:p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eastAsia="Times New Roman" w:cstheme="minorHAnsi"/>
          <w:b/>
          <w:bCs/>
          <w:color w:val="000000"/>
          <w:sz w:val="20"/>
          <w:szCs w:val="21"/>
          <w:lang w:eastAsia="nl-NL"/>
        </w:rPr>
        <w:t xml:space="preserve">Voor deze patiënten mag een </w:t>
      </w:r>
      <w:r w:rsidR="00D441C2" w:rsidRPr="002616FE">
        <w:rPr>
          <w:rFonts w:eastAsia="Times New Roman" w:cstheme="minorHAnsi"/>
          <w:b/>
          <w:bCs/>
          <w:color w:val="000000"/>
          <w:sz w:val="20"/>
          <w:szCs w:val="21"/>
          <w:lang w:eastAsia="nl-NL"/>
        </w:rPr>
        <w:t xml:space="preserve">individuele </w:t>
      </w:r>
      <w:r w:rsidRPr="002616FE">
        <w:rPr>
          <w:rFonts w:eastAsia="Times New Roman" w:cstheme="minorHAnsi"/>
          <w:b/>
          <w:bCs/>
          <w:color w:val="000000"/>
          <w:sz w:val="20"/>
          <w:szCs w:val="21"/>
          <w:lang w:eastAsia="nl-NL"/>
        </w:rPr>
        <w:t xml:space="preserve">machtiging aangevraagd worden </w:t>
      </w:r>
      <w:r w:rsidR="00F21950" w:rsidRPr="002616FE">
        <w:rPr>
          <w:rFonts w:eastAsia="Times New Roman" w:cstheme="minorHAnsi"/>
          <w:b/>
          <w:bCs/>
          <w:color w:val="000000"/>
          <w:sz w:val="20"/>
          <w:szCs w:val="21"/>
          <w:lang w:eastAsia="nl-NL"/>
        </w:rPr>
        <w:t xml:space="preserve">bij de zorgverzekeraar </w:t>
      </w:r>
      <w:r w:rsidRPr="002616FE">
        <w:rPr>
          <w:rFonts w:eastAsia="Times New Roman" w:cstheme="minorHAnsi"/>
          <w:b/>
          <w:bCs/>
          <w:color w:val="000000"/>
          <w:sz w:val="20"/>
          <w:szCs w:val="21"/>
          <w:lang w:eastAsia="nl-NL"/>
        </w:rPr>
        <w:t xml:space="preserve">en </w:t>
      </w:r>
      <w:r w:rsidR="00D441C2" w:rsidRPr="002616FE">
        <w:rPr>
          <w:rFonts w:eastAsia="Times New Roman" w:cstheme="minorHAnsi"/>
          <w:b/>
          <w:bCs/>
          <w:color w:val="000000"/>
          <w:sz w:val="20"/>
          <w:szCs w:val="21"/>
          <w:lang w:eastAsia="nl-NL"/>
        </w:rPr>
        <w:t>met indicatie ID</w:t>
      </w:r>
      <w:r w:rsidRPr="002616FE">
        <w:rPr>
          <w:rFonts w:eastAsia="Times New Roman" w:cstheme="minorHAnsi"/>
          <w:b/>
          <w:bCs/>
          <w:color w:val="000000"/>
          <w:sz w:val="20"/>
          <w:szCs w:val="21"/>
          <w:lang w:eastAsia="nl-NL"/>
        </w:rPr>
        <w:t xml:space="preserve"> 99999995 gedeclareerd worden.</w:t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Alle zorgverzekeraars zijn hiervan op de hoogte. </w:t>
      </w:r>
    </w:p>
    <w:p w14:paraId="00EB2DDE" w14:textId="77777777" w:rsidR="00BB3812" w:rsidRPr="002616FE" w:rsidRDefault="00BB3812" w:rsidP="00AF1DEA">
      <w:p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</w:p>
    <w:p w14:paraId="164801C3" w14:textId="580CDBE3" w:rsidR="008824E2" w:rsidRPr="002616FE" w:rsidRDefault="00A50B7D" w:rsidP="0037722F">
      <w:pPr>
        <w:rPr>
          <w:rFonts w:eastAsia="Times New Roman" w:cstheme="minorHAnsi"/>
          <w:bCs/>
          <w:sz w:val="20"/>
          <w:szCs w:val="21"/>
          <w:lang w:eastAsia="nl-NL"/>
        </w:rPr>
      </w:pP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Hiervoor is het voldoende </w:t>
      </w:r>
      <w:r w:rsidR="000C0B34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om</w:t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alle patiënten </w:t>
      </w:r>
      <w:r w:rsidR="0037722F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behandeld in maart en april</w:t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</w:t>
      </w:r>
      <w:r w:rsidR="00F67CF1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per zorgverzekeraar </w:t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in 1 bestand (</w:t>
      </w:r>
      <w:r w:rsidR="005D560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zie bijgevoegde </w:t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Excel) </w:t>
      </w:r>
      <w:r w:rsidR="00BB2B13">
        <w:rPr>
          <w:rFonts w:eastAsia="Times New Roman" w:cstheme="minorHAnsi"/>
          <w:bCs/>
          <w:color w:val="000000"/>
          <w:sz w:val="20"/>
          <w:szCs w:val="21"/>
          <w:lang w:eastAsia="nl-NL"/>
        </w:rPr>
        <w:t>aan te leveren via het machtiging</w:t>
      </w:r>
      <w:r w:rsidR="00FD2C0C">
        <w:rPr>
          <w:rFonts w:eastAsia="Times New Roman" w:cstheme="minorHAnsi"/>
          <w:bCs/>
          <w:color w:val="000000"/>
          <w:sz w:val="20"/>
          <w:szCs w:val="21"/>
          <w:lang w:eastAsia="nl-NL"/>
        </w:rPr>
        <w:t>en</w:t>
      </w:r>
      <w:r w:rsidR="00BB2B13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portaal </w:t>
      </w:r>
      <w:r w:rsidR="00F67CF1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van de betreffende zorgverzekeraar </w:t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met de volgende </w:t>
      </w:r>
      <w:r w:rsidRPr="002616FE">
        <w:rPr>
          <w:rFonts w:eastAsia="Times New Roman" w:cstheme="minorHAnsi"/>
          <w:bCs/>
          <w:sz w:val="20"/>
          <w:szCs w:val="21"/>
          <w:lang w:eastAsia="nl-NL"/>
        </w:rPr>
        <w:t>gegevens:</w:t>
      </w:r>
      <w:bookmarkStart w:id="0" w:name="_GoBack"/>
      <w:bookmarkEnd w:id="0"/>
    </w:p>
    <w:p w14:paraId="5C058F25" w14:textId="289C7BD9" w:rsidR="003F675C" w:rsidRPr="002616FE" w:rsidRDefault="003F675C" w:rsidP="008824E2">
      <w:pPr>
        <w:pStyle w:val="Lijstalinea"/>
        <w:numPr>
          <w:ilvl w:val="0"/>
          <w:numId w:val="4"/>
        </w:num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ascii="Calibri" w:eastAsia="Times New Roman" w:hAnsi="Calibri" w:cs="Calibri"/>
          <w:sz w:val="20"/>
          <w:szCs w:val="21"/>
          <w:lang w:eastAsia="nl-NL"/>
        </w:rPr>
        <w:t>Naam patiënt</w:t>
      </w:r>
    </w:p>
    <w:p w14:paraId="5C515582" w14:textId="19FAC595" w:rsidR="003F675C" w:rsidRPr="002616FE" w:rsidRDefault="003F675C" w:rsidP="003F675C">
      <w:pPr>
        <w:numPr>
          <w:ilvl w:val="0"/>
          <w:numId w:val="2"/>
        </w:numPr>
        <w:rPr>
          <w:rFonts w:ascii="Calibri" w:eastAsia="Times New Roman" w:hAnsi="Calibri" w:cs="Calibri"/>
          <w:sz w:val="21"/>
          <w:szCs w:val="22"/>
          <w:lang w:eastAsia="nl-NL"/>
        </w:rPr>
      </w:pPr>
      <w:proofErr w:type="gramStart"/>
      <w:r w:rsidRPr="003F675C">
        <w:rPr>
          <w:rFonts w:ascii="Calibri" w:eastAsia="Times New Roman" w:hAnsi="Calibri" w:cs="Calibri"/>
          <w:sz w:val="20"/>
          <w:szCs w:val="21"/>
          <w:lang w:eastAsia="nl-NL"/>
        </w:rPr>
        <w:t xml:space="preserve">BSN </w:t>
      </w:r>
      <w:r w:rsidRPr="002616FE">
        <w:rPr>
          <w:rFonts w:ascii="Calibri" w:eastAsia="Times New Roman" w:hAnsi="Calibri" w:cs="Calibri"/>
          <w:sz w:val="20"/>
          <w:szCs w:val="21"/>
          <w:lang w:eastAsia="nl-NL"/>
        </w:rPr>
        <w:t>patiënt</w:t>
      </w:r>
      <w:proofErr w:type="gramEnd"/>
    </w:p>
    <w:p w14:paraId="447AB60D" w14:textId="4FBFE57C" w:rsidR="0095034A" w:rsidRPr="003F675C" w:rsidRDefault="0095034A" w:rsidP="0095034A">
      <w:pPr>
        <w:numPr>
          <w:ilvl w:val="0"/>
          <w:numId w:val="2"/>
        </w:numPr>
        <w:rPr>
          <w:rFonts w:ascii="Calibri" w:eastAsia="Times New Roman" w:hAnsi="Calibri" w:cs="Calibri"/>
          <w:sz w:val="21"/>
          <w:szCs w:val="22"/>
          <w:lang w:eastAsia="nl-NL"/>
        </w:rPr>
      </w:pPr>
      <w:proofErr w:type="spellStart"/>
      <w:r w:rsidRPr="0095034A">
        <w:rPr>
          <w:rFonts w:ascii="Calibri" w:eastAsia="Times New Roman" w:hAnsi="Calibri" w:cs="Calibri"/>
          <w:sz w:val="20"/>
          <w:szCs w:val="21"/>
          <w:lang w:eastAsia="nl-NL"/>
        </w:rPr>
        <w:t>Polisnummer</w:t>
      </w:r>
      <w:proofErr w:type="spellEnd"/>
      <w:r w:rsidRPr="0095034A">
        <w:rPr>
          <w:rFonts w:ascii="Calibri" w:eastAsia="Times New Roman" w:hAnsi="Calibri" w:cs="Calibri"/>
          <w:sz w:val="20"/>
          <w:szCs w:val="21"/>
          <w:lang w:eastAsia="nl-NL"/>
        </w:rPr>
        <w:t xml:space="preserve"> </w:t>
      </w:r>
      <w:r w:rsidR="008824E2" w:rsidRPr="002616FE">
        <w:rPr>
          <w:rFonts w:ascii="Calibri" w:eastAsia="Times New Roman" w:hAnsi="Calibri" w:cs="Calibri"/>
          <w:sz w:val="20"/>
          <w:szCs w:val="21"/>
          <w:lang w:eastAsia="nl-NL"/>
        </w:rPr>
        <w:t>patiënt</w:t>
      </w:r>
    </w:p>
    <w:p w14:paraId="374A389D" w14:textId="77777777" w:rsidR="003F675C" w:rsidRPr="003F675C" w:rsidRDefault="003F675C" w:rsidP="003F675C">
      <w:pPr>
        <w:numPr>
          <w:ilvl w:val="0"/>
          <w:numId w:val="2"/>
        </w:numPr>
        <w:rPr>
          <w:rFonts w:ascii="Calibri" w:eastAsia="Times New Roman" w:hAnsi="Calibri" w:cs="Calibri"/>
          <w:sz w:val="21"/>
          <w:szCs w:val="22"/>
          <w:lang w:eastAsia="nl-NL"/>
        </w:rPr>
      </w:pPr>
      <w:r w:rsidRPr="003F675C">
        <w:rPr>
          <w:rFonts w:ascii="Calibri" w:eastAsia="Times New Roman" w:hAnsi="Calibri" w:cs="Calibri"/>
          <w:sz w:val="20"/>
          <w:szCs w:val="21"/>
          <w:lang w:eastAsia="nl-NL"/>
        </w:rPr>
        <w:t>Datum en aantal verstrekkingen</w:t>
      </w:r>
    </w:p>
    <w:p w14:paraId="356AB774" w14:textId="6894A23D" w:rsidR="003F675C" w:rsidRPr="002616FE" w:rsidRDefault="003F675C" w:rsidP="003F675C">
      <w:pPr>
        <w:numPr>
          <w:ilvl w:val="0"/>
          <w:numId w:val="2"/>
        </w:numPr>
        <w:rPr>
          <w:rFonts w:ascii="Calibri" w:eastAsia="Times New Roman" w:hAnsi="Calibri" w:cs="Calibri"/>
          <w:sz w:val="21"/>
          <w:szCs w:val="22"/>
          <w:lang w:eastAsia="nl-NL"/>
        </w:rPr>
      </w:pPr>
      <w:r w:rsidRPr="003F675C">
        <w:rPr>
          <w:rFonts w:ascii="Calibri" w:eastAsia="Times New Roman" w:hAnsi="Calibri" w:cs="Calibri"/>
          <w:sz w:val="20"/>
          <w:szCs w:val="21"/>
          <w:lang w:eastAsia="nl-NL"/>
        </w:rPr>
        <w:t>Indicatie</w:t>
      </w:r>
    </w:p>
    <w:p w14:paraId="4755D1E8" w14:textId="3370A550" w:rsidR="000135FE" w:rsidRPr="005D560E" w:rsidRDefault="002616FE" w:rsidP="000135FE">
      <w:pPr>
        <w:numPr>
          <w:ilvl w:val="0"/>
          <w:numId w:val="2"/>
        </w:numPr>
        <w:rPr>
          <w:rFonts w:ascii="Calibri" w:eastAsia="Times New Roman" w:hAnsi="Calibri" w:cs="Calibri"/>
          <w:sz w:val="21"/>
          <w:szCs w:val="22"/>
          <w:lang w:eastAsia="nl-NL"/>
        </w:rPr>
      </w:pPr>
      <w:r w:rsidRPr="002616FE">
        <w:rPr>
          <w:rFonts w:ascii="Calibri" w:eastAsia="Times New Roman" w:hAnsi="Calibri" w:cs="Calibri"/>
          <w:sz w:val="20"/>
          <w:szCs w:val="21"/>
          <w:lang w:eastAsia="nl-NL"/>
        </w:rPr>
        <w:t>AGB-code</w:t>
      </w:r>
      <w:r w:rsidR="0095034A" w:rsidRPr="0095034A">
        <w:rPr>
          <w:rFonts w:ascii="Calibri" w:eastAsia="Times New Roman" w:hAnsi="Calibri" w:cs="Calibri"/>
          <w:sz w:val="20"/>
          <w:szCs w:val="21"/>
          <w:lang w:eastAsia="nl-NL"/>
        </w:rPr>
        <w:t xml:space="preserve"> behandelaar en ziekenhuis</w:t>
      </w:r>
    </w:p>
    <w:p w14:paraId="2DA01468" w14:textId="77777777" w:rsidR="00CA5332" w:rsidRPr="002616FE" w:rsidRDefault="00CA5332" w:rsidP="00AF1DEA">
      <w:pPr>
        <w:rPr>
          <w:rFonts w:eastAsia="Times New Roman" w:cstheme="minorHAnsi"/>
          <w:bCs/>
          <w:sz w:val="20"/>
          <w:szCs w:val="21"/>
          <w:lang w:eastAsia="nl-NL"/>
        </w:rPr>
      </w:pPr>
    </w:p>
    <w:p w14:paraId="1102C069" w14:textId="57627B66" w:rsidR="000F6006" w:rsidRPr="002616FE" w:rsidRDefault="00CA5332" w:rsidP="006F1DB5">
      <w:pPr>
        <w:pStyle w:val="Kop2"/>
        <w:rPr>
          <w:rFonts w:eastAsia="Times New Roman"/>
          <w:sz w:val="24"/>
          <w:lang w:eastAsia="nl-NL"/>
        </w:rPr>
      </w:pPr>
      <w:r w:rsidRPr="002616FE">
        <w:rPr>
          <w:rFonts w:eastAsia="Times New Roman"/>
          <w:sz w:val="24"/>
          <w:lang w:eastAsia="nl-NL"/>
        </w:rPr>
        <w:t>D</w:t>
      </w:r>
      <w:r w:rsidR="00F21950" w:rsidRPr="002616FE">
        <w:rPr>
          <w:rFonts w:eastAsia="Times New Roman"/>
          <w:sz w:val="24"/>
          <w:lang w:eastAsia="nl-NL"/>
        </w:rPr>
        <w:t xml:space="preserve">e </w:t>
      </w:r>
      <w:r w:rsidR="000F6006" w:rsidRPr="002616FE">
        <w:rPr>
          <w:rFonts w:eastAsia="Times New Roman"/>
          <w:sz w:val="24"/>
          <w:lang w:eastAsia="nl-NL"/>
        </w:rPr>
        <w:t>multipel myeloom</w:t>
      </w:r>
      <w:r w:rsidR="00F21950" w:rsidRPr="002616FE">
        <w:rPr>
          <w:rFonts w:eastAsia="Times New Roman"/>
          <w:sz w:val="24"/>
          <w:lang w:eastAsia="nl-NL"/>
        </w:rPr>
        <w:t xml:space="preserve"> indicaties v</w:t>
      </w:r>
      <w:r w:rsidR="000F6006" w:rsidRPr="002616FE">
        <w:rPr>
          <w:rFonts w:eastAsia="Times New Roman"/>
          <w:sz w:val="24"/>
          <w:lang w:eastAsia="nl-NL"/>
        </w:rPr>
        <w:t xml:space="preserve">an </w:t>
      </w:r>
      <w:proofErr w:type="spellStart"/>
      <w:r w:rsidR="000F6006" w:rsidRPr="002616FE">
        <w:rPr>
          <w:rFonts w:eastAsia="Times New Roman"/>
          <w:sz w:val="24"/>
          <w:lang w:eastAsia="nl-NL"/>
        </w:rPr>
        <w:t>lenal</w:t>
      </w:r>
      <w:r w:rsidR="004116C2" w:rsidRPr="002616FE">
        <w:rPr>
          <w:rFonts w:eastAsia="Times New Roman"/>
          <w:sz w:val="24"/>
          <w:lang w:eastAsia="nl-NL"/>
        </w:rPr>
        <w:t>i</w:t>
      </w:r>
      <w:r w:rsidR="000F6006" w:rsidRPr="002616FE">
        <w:rPr>
          <w:rFonts w:eastAsia="Times New Roman"/>
          <w:sz w:val="24"/>
          <w:lang w:eastAsia="nl-NL"/>
        </w:rPr>
        <w:t>d</w:t>
      </w:r>
      <w:r w:rsidR="004116C2" w:rsidRPr="002616FE">
        <w:rPr>
          <w:rFonts w:eastAsia="Times New Roman"/>
          <w:sz w:val="24"/>
          <w:lang w:eastAsia="nl-NL"/>
        </w:rPr>
        <w:t>o</w:t>
      </w:r>
      <w:r w:rsidR="000F6006" w:rsidRPr="002616FE">
        <w:rPr>
          <w:rFonts w:eastAsia="Times New Roman"/>
          <w:sz w:val="24"/>
          <w:lang w:eastAsia="nl-NL"/>
        </w:rPr>
        <w:t>mide</w:t>
      </w:r>
      <w:proofErr w:type="spellEnd"/>
      <w:r w:rsidR="00F21950" w:rsidRPr="002616FE">
        <w:rPr>
          <w:rFonts w:eastAsia="Times New Roman"/>
          <w:sz w:val="24"/>
          <w:lang w:eastAsia="nl-NL"/>
        </w:rPr>
        <w:t xml:space="preserve"> op een rij</w:t>
      </w:r>
      <w:r w:rsidR="000F6006" w:rsidRPr="002616FE">
        <w:rPr>
          <w:rFonts w:eastAsia="Times New Roman"/>
          <w:sz w:val="24"/>
          <w:lang w:eastAsia="nl-NL"/>
        </w:rPr>
        <w:t xml:space="preserve"> </w:t>
      </w:r>
    </w:p>
    <w:p w14:paraId="178D48D6" w14:textId="399F0024" w:rsidR="00AF1DEA" w:rsidRPr="002616FE" w:rsidRDefault="00F75CFE" w:rsidP="00ED2F68">
      <w:pPr>
        <w:ind w:left="700" w:hanging="700"/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342:</w:t>
      </w:r>
      <w:r w:rsidR="00ED2F68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ab/>
      </w:r>
      <w:r w:rsidR="000F6006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In combinatie met dexamethason voor de behandeling van volwassen patiënten met multipel myeloom die eerder minimaal één andere behandeling hebben gehad.</w:t>
      </w:r>
    </w:p>
    <w:p w14:paraId="73BB5143" w14:textId="7429707F" w:rsidR="00F75CFE" w:rsidRPr="002616FE" w:rsidRDefault="00F75CFE" w:rsidP="00AF1DEA">
      <w:p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</w:p>
    <w:p w14:paraId="74CDAD66" w14:textId="23D5492F" w:rsidR="00F75CFE" w:rsidRPr="002616FE" w:rsidRDefault="00F75CFE" w:rsidP="00ED2F68">
      <w:pPr>
        <w:ind w:left="700" w:hanging="700"/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344: </w:t>
      </w:r>
      <w:r w:rsidR="00ED2F68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ab/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Als combinatietherapie voor de behandeling van volwassen patiënten met eerder onbehandeld multipel myeloom die niet in aanmerking komen voor transplantatie.</w:t>
      </w:r>
    </w:p>
    <w:p w14:paraId="584633FA" w14:textId="1844E333" w:rsidR="00F75CFE" w:rsidRPr="002616FE" w:rsidRDefault="00F75CFE" w:rsidP="00AF1DEA">
      <w:p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</w:p>
    <w:p w14:paraId="25CCEC27" w14:textId="48655D53" w:rsidR="00F75CFE" w:rsidRPr="002616FE" w:rsidRDefault="000D2310" w:rsidP="00ED2F68">
      <w:pPr>
        <w:ind w:left="700" w:hanging="700"/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1402: </w:t>
      </w:r>
      <w:r w:rsidR="00ED2F68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ab/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Als monotherapie voor de onderhoudsbehandeling van volwassen patiënten met nieuw gediagnosticeerd multipel myeloom die autologe stamceltransplantatie hebben ondergaan.</w:t>
      </w:r>
    </w:p>
    <w:p w14:paraId="357450FE" w14:textId="4A53EE20" w:rsidR="000D2310" w:rsidRPr="002616FE" w:rsidRDefault="000D2310" w:rsidP="00AF1DEA">
      <w:p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</w:p>
    <w:p w14:paraId="10E310E7" w14:textId="73BA1D67" w:rsidR="000D2310" w:rsidRPr="002616FE" w:rsidRDefault="005626BC" w:rsidP="00ED2F68">
      <w:pPr>
        <w:ind w:left="700" w:hanging="700"/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1427: </w:t>
      </w:r>
      <w:r w:rsidR="00ED2F68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ab/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In combinatie met </w:t>
      </w:r>
      <w:proofErr w:type="spellStart"/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carfilzomib</w:t>
      </w:r>
      <w:proofErr w:type="spellEnd"/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en dexamethason voor de behandeling van volwassen patiënten met multipel myeloom die minimaal één andere behandeling hebben gehad.</w:t>
      </w:r>
    </w:p>
    <w:p w14:paraId="6B144706" w14:textId="03F5A70C" w:rsidR="005626BC" w:rsidRPr="002616FE" w:rsidRDefault="005626BC" w:rsidP="00AF1DEA">
      <w:p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</w:p>
    <w:p w14:paraId="02162033" w14:textId="4606F9F8" w:rsidR="005626BC" w:rsidRPr="002616FE" w:rsidRDefault="00825AF9" w:rsidP="00ED2F68">
      <w:pPr>
        <w:ind w:left="700" w:hanging="700"/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1432: </w:t>
      </w:r>
      <w:r w:rsidR="00ED2F68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ab/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In combinatie met </w:t>
      </w:r>
      <w:proofErr w:type="spellStart"/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elotuzumab</w:t>
      </w:r>
      <w:proofErr w:type="spellEnd"/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/</w:t>
      </w:r>
      <w:proofErr w:type="spellStart"/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ixazomib</w:t>
      </w:r>
      <w:proofErr w:type="spellEnd"/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en dexamethason voor de behandeling van multipel myeloom bij volwassen patiënten die ten minste een eerdere behandeling hebben gekregen.</w:t>
      </w:r>
    </w:p>
    <w:p w14:paraId="5A6DE92C" w14:textId="3F3386C7" w:rsidR="00825AF9" w:rsidRPr="002616FE" w:rsidRDefault="00825AF9" w:rsidP="00AF1DEA">
      <w:p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</w:p>
    <w:p w14:paraId="36C64CCC" w14:textId="14B07B2F" w:rsidR="00C950F0" w:rsidRPr="002616FE" w:rsidRDefault="00C950F0" w:rsidP="00ED2F68">
      <w:pPr>
        <w:ind w:left="700" w:hanging="700"/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1507: </w:t>
      </w:r>
      <w:r w:rsidR="00ED2F68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ab/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In combinatie met </w:t>
      </w:r>
      <w:proofErr w:type="spellStart"/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daratumumab</w:t>
      </w:r>
      <w:proofErr w:type="spellEnd"/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 en dexamethason voor de behandeling van volwassen patiënten met multipel myeloom die minstens 1 eerdere behandeling hebben gehad.</w:t>
      </w:r>
    </w:p>
    <w:p w14:paraId="042BC30D" w14:textId="77777777" w:rsidR="00AB2759" w:rsidRPr="002616FE" w:rsidRDefault="00AB2759" w:rsidP="00AF1DEA">
      <w:pPr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</w:p>
    <w:p w14:paraId="623100A6" w14:textId="21DA4A43" w:rsidR="00C950F0" w:rsidRPr="002616FE" w:rsidRDefault="00AB2759" w:rsidP="006F1DB5">
      <w:pPr>
        <w:ind w:left="700" w:hanging="700"/>
        <w:rPr>
          <w:rFonts w:eastAsia="Times New Roman" w:cstheme="minorHAnsi"/>
          <w:bCs/>
          <w:color w:val="000000"/>
          <w:sz w:val="20"/>
          <w:szCs w:val="21"/>
          <w:lang w:eastAsia="nl-NL"/>
        </w:rPr>
      </w:pP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 xml:space="preserve">2673: </w:t>
      </w:r>
      <w:r w:rsidR="00ED2F68"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ab/>
      </w:r>
      <w:r w:rsidRPr="002616FE">
        <w:rPr>
          <w:rFonts w:eastAsia="Times New Roman" w:cstheme="minorHAnsi"/>
          <w:bCs/>
          <w:color w:val="000000"/>
          <w:sz w:val="20"/>
          <w:szCs w:val="21"/>
          <w:lang w:eastAsia="nl-NL"/>
        </w:rPr>
        <w:t>In combinatie met cyclofosfamide en prednison voor de behandeling van volwassen patiënten met multipel myeloom die eerder minimaal een andere behandeling hebben gehad.</w:t>
      </w:r>
    </w:p>
    <w:p w14:paraId="0CEC1CCB" w14:textId="062D03B3" w:rsidR="00FC36B5" w:rsidRPr="002616FE" w:rsidRDefault="00FC36B5" w:rsidP="00AF1DEA">
      <w:pPr>
        <w:rPr>
          <w:rFonts w:ascii="Times New Roman" w:eastAsia="Times New Roman" w:hAnsi="Times New Roman" w:cs="Times New Roman"/>
          <w:sz w:val="22"/>
          <w:lang w:eastAsia="nl-NL"/>
        </w:rPr>
      </w:pPr>
    </w:p>
    <w:p w14:paraId="33612915" w14:textId="23710383" w:rsidR="00DF428D" w:rsidRPr="002616FE" w:rsidRDefault="00FC36B5" w:rsidP="00FC36B5">
      <w:pPr>
        <w:pStyle w:val="Kop2"/>
        <w:rPr>
          <w:sz w:val="24"/>
        </w:rPr>
      </w:pPr>
      <w:r w:rsidRPr="002616FE">
        <w:rPr>
          <w:sz w:val="24"/>
        </w:rPr>
        <w:t>Vragen?</w:t>
      </w:r>
    </w:p>
    <w:p w14:paraId="41A08DC9" w14:textId="3E79E32F" w:rsidR="00FC36B5" w:rsidRPr="002616FE" w:rsidRDefault="00FC36B5" w:rsidP="00FC36B5">
      <w:pPr>
        <w:rPr>
          <w:sz w:val="20"/>
          <w:szCs w:val="21"/>
        </w:rPr>
      </w:pPr>
      <w:r w:rsidRPr="002616FE">
        <w:rPr>
          <w:sz w:val="20"/>
          <w:szCs w:val="21"/>
        </w:rPr>
        <w:t>Bij vragen kan contact opgenomen worden met Annette Lamboo, contactpersoon namens ZN. Contactgegevens:</w:t>
      </w:r>
    </w:p>
    <w:p w14:paraId="650D4A61" w14:textId="6702A27A" w:rsidR="00FC36B5" w:rsidRPr="002616FE" w:rsidRDefault="00FC36B5" w:rsidP="00FC36B5">
      <w:pPr>
        <w:rPr>
          <w:sz w:val="20"/>
          <w:szCs w:val="21"/>
        </w:rPr>
      </w:pPr>
      <w:r w:rsidRPr="002616FE">
        <w:rPr>
          <w:sz w:val="20"/>
          <w:szCs w:val="21"/>
        </w:rPr>
        <w:t xml:space="preserve">Mail: </w:t>
      </w:r>
      <w:hyperlink r:id="rId5" w:history="1">
        <w:r w:rsidRPr="002616FE">
          <w:rPr>
            <w:rStyle w:val="Hyperlink"/>
            <w:sz w:val="20"/>
            <w:szCs w:val="21"/>
          </w:rPr>
          <w:t>annette@care-together.nl</w:t>
        </w:r>
      </w:hyperlink>
    </w:p>
    <w:p w14:paraId="57A59409" w14:textId="1D8110D1" w:rsidR="00FC36B5" w:rsidRPr="002616FE" w:rsidRDefault="00FC36B5" w:rsidP="00FC36B5">
      <w:pPr>
        <w:rPr>
          <w:sz w:val="20"/>
          <w:szCs w:val="21"/>
        </w:rPr>
      </w:pPr>
      <w:r w:rsidRPr="002616FE">
        <w:rPr>
          <w:sz w:val="20"/>
          <w:szCs w:val="21"/>
        </w:rPr>
        <w:t>Tel: 06-53762981</w:t>
      </w:r>
    </w:p>
    <w:sectPr w:rsidR="00FC36B5" w:rsidRPr="002616FE" w:rsidSect="00523B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043E"/>
    <w:multiLevelType w:val="multilevel"/>
    <w:tmpl w:val="C7C8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B5F94"/>
    <w:multiLevelType w:val="multilevel"/>
    <w:tmpl w:val="0002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771817"/>
    <w:multiLevelType w:val="hybridMultilevel"/>
    <w:tmpl w:val="B142B8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55847"/>
    <w:multiLevelType w:val="hybridMultilevel"/>
    <w:tmpl w:val="B8B8F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8D"/>
    <w:rsid w:val="000135FE"/>
    <w:rsid w:val="00043335"/>
    <w:rsid w:val="000C0B34"/>
    <w:rsid w:val="000C3107"/>
    <w:rsid w:val="000D2310"/>
    <w:rsid w:val="000F6006"/>
    <w:rsid w:val="0011082C"/>
    <w:rsid w:val="00130116"/>
    <w:rsid w:val="001A1C58"/>
    <w:rsid w:val="001A68EE"/>
    <w:rsid w:val="001C7866"/>
    <w:rsid w:val="001C7DEA"/>
    <w:rsid w:val="001D27A2"/>
    <w:rsid w:val="002221B0"/>
    <w:rsid w:val="002616FE"/>
    <w:rsid w:val="002B20E9"/>
    <w:rsid w:val="002C64A7"/>
    <w:rsid w:val="0036772D"/>
    <w:rsid w:val="00367DDA"/>
    <w:rsid w:val="0037722F"/>
    <w:rsid w:val="003C3F16"/>
    <w:rsid w:val="003F675C"/>
    <w:rsid w:val="004116C2"/>
    <w:rsid w:val="00422CA0"/>
    <w:rsid w:val="00456D32"/>
    <w:rsid w:val="0049209E"/>
    <w:rsid w:val="0050025D"/>
    <w:rsid w:val="00523B42"/>
    <w:rsid w:val="00560ECF"/>
    <w:rsid w:val="005626BC"/>
    <w:rsid w:val="005D560E"/>
    <w:rsid w:val="006411D7"/>
    <w:rsid w:val="006A40F6"/>
    <w:rsid w:val="006F1DB5"/>
    <w:rsid w:val="007744D6"/>
    <w:rsid w:val="007F6E43"/>
    <w:rsid w:val="00825AF9"/>
    <w:rsid w:val="008329DD"/>
    <w:rsid w:val="008824E2"/>
    <w:rsid w:val="00883A35"/>
    <w:rsid w:val="0095034A"/>
    <w:rsid w:val="0095678D"/>
    <w:rsid w:val="009743C8"/>
    <w:rsid w:val="00984E0B"/>
    <w:rsid w:val="00992B0D"/>
    <w:rsid w:val="00A0011D"/>
    <w:rsid w:val="00A50B7D"/>
    <w:rsid w:val="00A51E2A"/>
    <w:rsid w:val="00A61DBD"/>
    <w:rsid w:val="00A67CEB"/>
    <w:rsid w:val="00A97151"/>
    <w:rsid w:val="00AB2088"/>
    <w:rsid w:val="00AB2759"/>
    <w:rsid w:val="00AF1DEA"/>
    <w:rsid w:val="00B20FEB"/>
    <w:rsid w:val="00BB2B13"/>
    <w:rsid w:val="00BB3812"/>
    <w:rsid w:val="00BF1ECD"/>
    <w:rsid w:val="00C76B40"/>
    <w:rsid w:val="00C83337"/>
    <w:rsid w:val="00C870F0"/>
    <w:rsid w:val="00C950F0"/>
    <w:rsid w:val="00CA5332"/>
    <w:rsid w:val="00CB3739"/>
    <w:rsid w:val="00D15FF0"/>
    <w:rsid w:val="00D30226"/>
    <w:rsid w:val="00D441C2"/>
    <w:rsid w:val="00D53472"/>
    <w:rsid w:val="00DD3F64"/>
    <w:rsid w:val="00DF2076"/>
    <w:rsid w:val="00DF428D"/>
    <w:rsid w:val="00E231C1"/>
    <w:rsid w:val="00E64424"/>
    <w:rsid w:val="00ED2F68"/>
    <w:rsid w:val="00EE4F79"/>
    <w:rsid w:val="00F009B2"/>
    <w:rsid w:val="00F21950"/>
    <w:rsid w:val="00F67CF1"/>
    <w:rsid w:val="00F75CFE"/>
    <w:rsid w:val="00F852ED"/>
    <w:rsid w:val="00FC36B5"/>
    <w:rsid w:val="00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6D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19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743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743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43C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43C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jstalinea">
    <w:name w:val="List Paragraph"/>
    <w:basedOn w:val="Standaard"/>
    <w:uiPriority w:val="34"/>
    <w:qFormat/>
    <w:rsid w:val="009743C8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AF1DEA"/>
  </w:style>
  <w:style w:type="character" w:customStyle="1" w:styleId="Kop1Char">
    <w:name w:val="Kop 1 Char"/>
    <w:basedOn w:val="Standaardalinea-lettertype"/>
    <w:link w:val="Kop1"/>
    <w:uiPriority w:val="9"/>
    <w:rsid w:val="00F21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C8333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C8333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3337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0E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0E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0EC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0E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0EC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0E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tte@care-togeth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Memo vergoeding IVIG voor de behandeling van relapsing remitting of chronisch pr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Heinen</dc:creator>
  <cp:keywords/>
  <dc:description/>
  <cp:lastModifiedBy>Annette Lamboo</cp:lastModifiedBy>
  <cp:revision>2</cp:revision>
  <dcterms:created xsi:type="dcterms:W3CDTF">2019-05-15T21:33:00Z</dcterms:created>
  <dcterms:modified xsi:type="dcterms:W3CDTF">2019-05-15T21:33:00Z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luitActie">
    <vt:lpwstr>Geen</vt:lpwstr>
  </property>
</Properties>
</file>